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5FD" w:rsidRPr="00F6556E" w:rsidRDefault="00B70F5E" w:rsidP="00CC1403">
      <w:pPr>
        <w:ind w:left="-720" w:right="-720"/>
        <w:rPr>
          <w:color w:val="002060"/>
          <w:sz w:val="44"/>
          <w:szCs w:val="44"/>
        </w:rPr>
      </w:pPr>
      <w:r w:rsidRPr="00F6556E">
        <w:rPr>
          <w:noProof/>
          <w:color w:val="002060"/>
          <w:sz w:val="44"/>
          <w:szCs w:val="44"/>
        </w:rPr>
        <w:drawing>
          <wp:inline distT="0" distB="0" distL="0" distR="0">
            <wp:extent cx="548640" cy="507902"/>
            <wp:effectExtent l="19050" t="0" r="3810" b="0"/>
            <wp:docPr id="3" name="Picture 1" descr="stay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yi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507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XSpec="center" w:tblpY="67"/>
        <w:tblW w:w="10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783"/>
      </w:tblGrid>
      <w:tr w:rsidR="00B70F5E" w:rsidRPr="00F6556E" w:rsidTr="00B70F5E">
        <w:trPr>
          <w:trHeight w:val="854"/>
        </w:trPr>
        <w:tc>
          <w:tcPr>
            <w:tcW w:w="10783" w:type="dxa"/>
          </w:tcPr>
          <w:p w:rsidR="00B70F5E" w:rsidRPr="00F6556E" w:rsidRDefault="00F6556E" w:rsidP="00F6556E">
            <w:pPr>
              <w:ind w:right="-720"/>
              <w:rPr>
                <w:color w:val="002060"/>
                <w:sz w:val="44"/>
                <w:szCs w:val="44"/>
              </w:rPr>
            </w:pPr>
            <w:r w:rsidRPr="00F6556E">
              <w:rPr>
                <w:color w:val="002060"/>
                <w:sz w:val="44"/>
                <w:szCs w:val="44"/>
              </w:rPr>
              <w:t xml:space="preserve">Make $$$ Saving </w:t>
            </w:r>
            <w:r w:rsidR="00B70F5E" w:rsidRPr="00F6556E">
              <w:rPr>
                <w:color w:val="002060"/>
                <w:sz w:val="44"/>
                <w:szCs w:val="44"/>
              </w:rPr>
              <w:t>Home</w:t>
            </w:r>
            <w:r w:rsidRPr="00F6556E">
              <w:rPr>
                <w:color w:val="002060"/>
                <w:sz w:val="44"/>
                <w:szCs w:val="44"/>
              </w:rPr>
              <w:t>owners</w:t>
            </w:r>
            <w:r w:rsidR="00B70F5E" w:rsidRPr="00F6556E">
              <w:rPr>
                <w:color w:val="002060"/>
                <w:sz w:val="44"/>
                <w:szCs w:val="44"/>
              </w:rPr>
              <w:t>, Credit, and Peace of mind!</w:t>
            </w:r>
            <w:r>
              <w:rPr>
                <w:color w:val="002060"/>
                <w:sz w:val="44"/>
                <w:szCs w:val="44"/>
              </w:rPr>
              <w:t>!</w:t>
            </w:r>
          </w:p>
        </w:tc>
      </w:tr>
    </w:tbl>
    <w:p w:rsidR="00CC1403" w:rsidRPr="00F6556E" w:rsidRDefault="00CC1403" w:rsidP="00F6556E">
      <w:pPr>
        <w:ind w:left="-720" w:right="-720"/>
        <w:jc w:val="center"/>
        <w:rPr>
          <w:color w:val="002060"/>
          <w:sz w:val="44"/>
          <w:szCs w:val="44"/>
        </w:rPr>
      </w:pPr>
    </w:p>
    <w:p w:rsidR="00F6556E" w:rsidRDefault="0098189A" w:rsidP="00F6556E">
      <w:pPr>
        <w:ind w:left="-720" w:right="-720"/>
        <w:jc w:val="center"/>
        <w:rPr>
          <w:rFonts w:asciiTheme="majorHAnsi" w:hAnsiTheme="majorHAnsi"/>
          <w:b/>
          <w:i/>
          <w:sz w:val="36"/>
          <w:szCs w:val="36"/>
          <w:u w:val="single"/>
        </w:rPr>
      </w:pPr>
      <w:r>
        <w:rPr>
          <w:rFonts w:asciiTheme="majorHAnsi" w:hAnsiTheme="majorHAnsi"/>
          <w:b/>
          <w:i/>
          <w:sz w:val="36"/>
          <w:szCs w:val="36"/>
          <w:u w:val="single"/>
        </w:rPr>
        <w:t>Stay In or Walk Away</w:t>
      </w:r>
    </w:p>
    <w:p w:rsidR="0098189A" w:rsidRDefault="00B838D0" w:rsidP="00F6556E">
      <w:pPr>
        <w:ind w:left="-720" w:right="-720"/>
        <w:jc w:val="center"/>
        <w:rPr>
          <w:rFonts w:asciiTheme="majorHAnsi" w:hAnsiTheme="majorHAnsi"/>
          <w:b/>
          <w:sz w:val="36"/>
          <w:szCs w:val="36"/>
          <w:u w:val="single"/>
        </w:rPr>
      </w:pPr>
      <w:hyperlink r:id="rId7" w:history="1">
        <w:r w:rsidR="0098189A" w:rsidRPr="002A5054">
          <w:rPr>
            <w:rStyle w:val="Hyperlink"/>
            <w:rFonts w:asciiTheme="majorHAnsi" w:hAnsiTheme="majorHAnsi"/>
            <w:b/>
            <w:sz w:val="36"/>
            <w:szCs w:val="36"/>
          </w:rPr>
          <w:t>www.stayinorwalkaway.com</w:t>
        </w:r>
      </w:hyperlink>
    </w:p>
    <w:p w:rsidR="0098189A" w:rsidRDefault="0098189A" w:rsidP="0098189A">
      <w:pPr>
        <w:ind w:left="-720" w:right="-720"/>
        <w:rPr>
          <w:rFonts w:asciiTheme="majorHAnsi" w:hAnsiTheme="majorHAnsi"/>
          <w:b/>
          <w:sz w:val="36"/>
          <w:szCs w:val="36"/>
        </w:rPr>
      </w:pPr>
    </w:p>
    <w:p w:rsidR="0031678A" w:rsidRDefault="00D50535" w:rsidP="0098189A">
      <w:pPr>
        <w:ind w:left="-720" w:right="-720"/>
        <w:rPr>
          <w:rFonts w:asciiTheme="majorHAnsi" w:hAnsiTheme="majorHAnsi"/>
          <w:b/>
          <w:i/>
          <w:sz w:val="32"/>
          <w:szCs w:val="32"/>
          <w:u w:val="single"/>
        </w:rPr>
      </w:pPr>
      <w:r>
        <w:rPr>
          <w:rFonts w:asciiTheme="majorHAnsi" w:hAnsiTheme="majorHAnsi"/>
          <w:b/>
          <w:i/>
          <w:sz w:val="32"/>
          <w:szCs w:val="32"/>
          <w:u w:val="single"/>
        </w:rPr>
        <w:t>What we do</w:t>
      </w:r>
    </w:p>
    <w:p w:rsidR="00D50535" w:rsidRDefault="00306C45" w:rsidP="00306C45">
      <w:pPr>
        <w:pStyle w:val="ListParagraph"/>
        <w:numPr>
          <w:ilvl w:val="0"/>
          <w:numId w:val="2"/>
        </w:numPr>
        <w:ind w:right="-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Purchase distressed properties (Pre-foreclosures, Short Sales, Under Water Properties)</w:t>
      </w:r>
    </w:p>
    <w:p w:rsidR="00306C45" w:rsidRDefault="005C4F7F" w:rsidP="00306C45">
      <w:pPr>
        <w:pStyle w:val="ListParagraph"/>
        <w:numPr>
          <w:ilvl w:val="0"/>
          <w:numId w:val="2"/>
        </w:numPr>
        <w:ind w:right="-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Reduce the homeowners monthly payment by up to 50%</w:t>
      </w:r>
    </w:p>
    <w:p w:rsidR="003423D9" w:rsidRDefault="003423D9" w:rsidP="00306C45">
      <w:pPr>
        <w:pStyle w:val="ListParagraph"/>
        <w:numPr>
          <w:ilvl w:val="0"/>
          <w:numId w:val="2"/>
        </w:numPr>
        <w:ind w:right="-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Give the homeowner the option of keeping their home or walking away</w:t>
      </w:r>
    </w:p>
    <w:p w:rsidR="003423D9" w:rsidRDefault="00AB74A9" w:rsidP="00306C45">
      <w:pPr>
        <w:pStyle w:val="ListParagraph"/>
        <w:numPr>
          <w:ilvl w:val="0"/>
          <w:numId w:val="2"/>
        </w:numPr>
        <w:ind w:right="-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We </w:t>
      </w:r>
      <w:r w:rsidR="00DE0E41">
        <w:rPr>
          <w:rFonts w:asciiTheme="majorHAnsi" w:hAnsiTheme="majorHAnsi"/>
          <w:b/>
          <w:sz w:val="24"/>
          <w:szCs w:val="24"/>
        </w:rPr>
        <w:t xml:space="preserve">STOP </w:t>
      </w:r>
      <w:r w:rsidR="00DE0E41">
        <w:rPr>
          <w:rFonts w:asciiTheme="majorHAnsi" w:hAnsiTheme="majorHAnsi"/>
          <w:sz w:val="24"/>
          <w:szCs w:val="24"/>
        </w:rPr>
        <w:t>the foreclosure!!!</w:t>
      </w:r>
    </w:p>
    <w:p w:rsidR="00A66012" w:rsidRPr="00306C45" w:rsidRDefault="00A66012" w:rsidP="00AB74A9">
      <w:pPr>
        <w:pStyle w:val="ListParagraph"/>
        <w:ind w:left="0" w:right="-720"/>
        <w:rPr>
          <w:rFonts w:asciiTheme="majorHAnsi" w:hAnsiTheme="majorHAnsi"/>
          <w:sz w:val="24"/>
          <w:szCs w:val="24"/>
        </w:rPr>
      </w:pPr>
    </w:p>
    <w:p w:rsidR="0031678A" w:rsidRDefault="0031678A" w:rsidP="00484618">
      <w:pPr>
        <w:ind w:right="-72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Benefits</w:t>
      </w:r>
    </w:p>
    <w:p w:rsidR="0031678A" w:rsidRDefault="000F7D22" w:rsidP="000F7D22">
      <w:pPr>
        <w:pStyle w:val="ListParagraph"/>
        <w:numPr>
          <w:ilvl w:val="0"/>
          <w:numId w:val="1"/>
        </w:numPr>
        <w:ind w:right="-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Make $500 and 2% commission on every deal </w:t>
      </w:r>
      <w:r w:rsidR="00140967">
        <w:rPr>
          <w:sz w:val="24"/>
          <w:szCs w:val="24"/>
        </w:rPr>
        <w:t xml:space="preserve">approved that </w:t>
      </w:r>
      <w:r>
        <w:rPr>
          <w:sz w:val="24"/>
          <w:szCs w:val="24"/>
        </w:rPr>
        <w:t>you find</w:t>
      </w:r>
    </w:p>
    <w:p w:rsidR="00140967" w:rsidRDefault="0004584A" w:rsidP="000F7D22">
      <w:pPr>
        <w:pStyle w:val="ListParagraph"/>
        <w:numPr>
          <w:ilvl w:val="0"/>
          <w:numId w:val="1"/>
        </w:numPr>
        <w:ind w:right="-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Learn </w:t>
      </w:r>
      <w:r w:rsidR="005C01C6">
        <w:rPr>
          <w:sz w:val="24"/>
          <w:szCs w:val="24"/>
        </w:rPr>
        <w:t>about wealth building through residual income</w:t>
      </w:r>
    </w:p>
    <w:p w:rsidR="0004584A" w:rsidRDefault="00024393" w:rsidP="000F7D22">
      <w:pPr>
        <w:pStyle w:val="ListParagraph"/>
        <w:numPr>
          <w:ilvl w:val="0"/>
          <w:numId w:val="1"/>
        </w:numPr>
        <w:ind w:right="-720"/>
        <w:jc w:val="both"/>
        <w:rPr>
          <w:sz w:val="24"/>
          <w:szCs w:val="24"/>
        </w:rPr>
      </w:pPr>
      <w:r>
        <w:rPr>
          <w:sz w:val="24"/>
          <w:szCs w:val="24"/>
        </w:rPr>
        <w:t>Get paid within 30-45 days</w:t>
      </w:r>
    </w:p>
    <w:p w:rsidR="00D41322" w:rsidRPr="00004797" w:rsidRDefault="00D77512" w:rsidP="00E93D91">
      <w:pPr>
        <w:pStyle w:val="ListParagraph"/>
        <w:numPr>
          <w:ilvl w:val="0"/>
          <w:numId w:val="1"/>
        </w:numPr>
        <w:ind w:right="-720"/>
        <w:jc w:val="both"/>
        <w:rPr>
          <w:b/>
          <w:sz w:val="28"/>
          <w:szCs w:val="28"/>
        </w:rPr>
      </w:pPr>
      <w:r w:rsidRPr="00004797">
        <w:rPr>
          <w:sz w:val="24"/>
          <w:szCs w:val="24"/>
        </w:rPr>
        <w:t>All you have to do is refer us a homeowner who is in pre-foreclosure or missing payments</w:t>
      </w:r>
      <w:r w:rsidR="00806085" w:rsidRPr="00004797">
        <w:rPr>
          <w:sz w:val="24"/>
          <w:szCs w:val="24"/>
        </w:rPr>
        <w:t xml:space="preserve"> and our office will take care of the rest.</w:t>
      </w:r>
      <w:r w:rsidR="000C1865" w:rsidRPr="00004797">
        <w:rPr>
          <w:sz w:val="24"/>
          <w:szCs w:val="24"/>
        </w:rPr>
        <w:t xml:space="preserve"> You just wait to be paid while we handle everything.</w:t>
      </w:r>
      <w:r w:rsidR="00004797" w:rsidRPr="00004797">
        <w:rPr>
          <w:sz w:val="24"/>
          <w:szCs w:val="24"/>
        </w:rPr>
        <w:t xml:space="preserve"> Call our corporate office with the homeowner’s name, address, and phone number or have them call us.</w:t>
      </w:r>
    </w:p>
    <w:p w:rsidR="00D41322" w:rsidRDefault="00D41322" w:rsidP="00E93D91">
      <w:pPr>
        <w:pStyle w:val="ListParagraph"/>
        <w:ind w:left="0" w:right="-720"/>
        <w:jc w:val="both"/>
        <w:rPr>
          <w:b/>
          <w:sz w:val="28"/>
          <w:szCs w:val="28"/>
        </w:rPr>
      </w:pPr>
    </w:p>
    <w:p w:rsidR="00D41322" w:rsidRPr="00E93D91" w:rsidRDefault="00D41322" w:rsidP="00E93D91">
      <w:pPr>
        <w:pStyle w:val="ListParagraph"/>
        <w:ind w:left="0" w:right="-720"/>
        <w:jc w:val="both"/>
        <w:rPr>
          <w:b/>
          <w:sz w:val="28"/>
          <w:szCs w:val="28"/>
        </w:rPr>
      </w:pPr>
    </w:p>
    <w:p w:rsidR="00E93D91" w:rsidRDefault="00E93D91" w:rsidP="00E93D91">
      <w:pPr>
        <w:pStyle w:val="ListParagraph"/>
        <w:ind w:left="0" w:right="-720"/>
        <w:jc w:val="center"/>
        <w:rPr>
          <w:rFonts w:asciiTheme="majorHAnsi" w:hAnsiTheme="majorHAnsi"/>
          <w:b/>
          <w:sz w:val="28"/>
          <w:szCs w:val="28"/>
        </w:rPr>
      </w:pPr>
      <w:r w:rsidRPr="00E93D91">
        <w:rPr>
          <w:rFonts w:asciiTheme="majorHAnsi" w:hAnsiTheme="majorHAnsi"/>
          <w:b/>
          <w:sz w:val="28"/>
          <w:szCs w:val="28"/>
        </w:rPr>
        <w:t>Give us a call today!!!</w:t>
      </w:r>
    </w:p>
    <w:p w:rsidR="00484618" w:rsidRPr="00484618" w:rsidRDefault="00484618" w:rsidP="00E93D91">
      <w:pPr>
        <w:pStyle w:val="ListParagraph"/>
        <w:ind w:left="0" w:right="-720"/>
        <w:jc w:val="center"/>
        <w:rPr>
          <w:rFonts w:asciiTheme="majorHAnsi" w:hAnsiTheme="majorHAnsi"/>
          <w:b/>
          <w:sz w:val="44"/>
          <w:szCs w:val="44"/>
          <w:u w:val="single"/>
        </w:rPr>
      </w:pPr>
      <w:r w:rsidRPr="00484618">
        <w:rPr>
          <w:rFonts w:asciiTheme="majorHAnsi" w:hAnsiTheme="majorHAnsi"/>
          <w:b/>
          <w:sz w:val="44"/>
          <w:szCs w:val="44"/>
          <w:u w:val="single"/>
        </w:rPr>
        <w:t>810-771-8889</w:t>
      </w:r>
    </w:p>
    <w:sectPr w:rsidR="00484618" w:rsidRPr="00484618" w:rsidSect="008365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127DE"/>
    <w:multiLevelType w:val="hybridMultilevel"/>
    <w:tmpl w:val="3976AE7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63B55FC6"/>
    <w:multiLevelType w:val="hybridMultilevel"/>
    <w:tmpl w:val="0FDE2C1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66E0F"/>
    <w:rsid w:val="00004797"/>
    <w:rsid w:val="00024393"/>
    <w:rsid w:val="0004584A"/>
    <w:rsid w:val="000C1865"/>
    <w:rsid w:val="000F7D22"/>
    <w:rsid w:val="00140967"/>
    <w:rsid w:val="0026067A"/>
    <w:rsid w:val="00306C45"/>
    <w:rsid w:val="0031678A"/>
    <w:rsid w:val="003423D9"/>
    <w:rsid w:val="003D727D"/>
    <w:rsid w:val="003E55B7"/>
    <w:rsid w:val="00484618"/>
    <w:rsid w:val="005C01C6"/>
    <w:rsid w:val="005C4F7F"/>
    <w:rsid w:val="00666FB8"/>
    <w:rsid w:val="00806085"/>
    <w:rsid w:val="008365FD"/>
    <w:rsid w:val="008F51E0"/>
    <w:rsid w:val="0098045A"/>
    <w:rsid w:val="0098189A"/>
    <w:rsid w:val="009A3398"/>
    <w:rsid w:val="00A66012"/>
    <w:rsid w:val="00A701A3"/>
    <w:rsid w:val="00AB74A9"/>
    <w:rsid w:val="00B70F5E"/>
    <w:rsid w:val="00B838D0"/>
    <w:rsid w:val="00CC1403"/>
    <w:rsid w:val="00D41322"/>
    <w:rsid w:val="00D50535"/>
    <w:rsid w:val="00D62F4A"/>
    <w:rsid w:val="00D77512"/>
    <w:rsid w:val="00DE0E41"/>
    <w:rsid w:val="00E66E0F"/>
    <w:rsid w:val="00E93D91"/>
    <w:rsid w:val="00EB1313"/>
    <w:rsid w:val="00F20EB5"/>
    <w:rsid w:val="00F6556E"/>
    <w:rsid w:val="00F87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6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E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8189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F7D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tayinorwalkaway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ECF4DD-31FB-4C05-880B-2A45F9A0F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 Savage</dc:creator>
  <cp:lastModifiedBy>Owner</cp:lastModifiedBy>
  <cp:revision>2</cp:revision>
  <dcterms:created xsi:type="dcterms:W3CDTF">2013-10-22T02:56:00Z</dcterms:created>
  <dcterms:modified xsi:type="dcterms:W3CDTF">2013-10-22T02:56:00Z</dcterms:modified>
</cp:coreProperties>
</file>